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F01A2" w14:textId="455DF994" w:rsidR="00FC4056" w:rsidRPr="00FC4056" w:rsidRDefault="00321859" w:rsidP="00036D09">
      <w:pPr>
        <w:shd w:val="clear" w:color="auto" w:fill="FFFFFF"/>
        <w:spacing w:after="0" w:line="240" w:lineRule="auto"/>
        <w:jc w:val="both"/>
        <w:rPr>
          <w:rFonts w:ascii="Century Gothic" w:hAnsi="Century Gothic"/>
          <w:b/>
          <w:bCs/>
          <w:sz w:val="36"/>
          <w:szCs w:val="36"/>
        </w:rPr>
      </w:pPr>
      <w:r>
        <w:rPr>
          <w:rStyle w:val="Hipervnculo"/>
          <w:rFonts w:ascii="Century Gothic" w:hAnsi="Century Gothic"/>
          <w:b/>
          <w:bCs/>
          <w:sz w:val="36"/>
          <w:szCs w:val="36"/>
        </w:rPr>
        <w:fldChar w:fldCharType="begin"/>
      </w:r>
      <w:r>
        <w:rPr>
          <w:rStyle w:val="Hipervnculo"/>
          <w:rFonts w:ascii="Century Gothic" w:hAnsi="Century Gothic"/>
          <w:b/>
          <w:bCs/>
          <w:sz w:val="36"/>
          <w:szCs w:val="36"/>
        </w:rPr>
        <w:instrText>HYPERLINK "https://cesgar.es/las-sociedades-de-garantia-inyectaron-1-326-millones-de-euros-a-pymes-y-autonomos-en-el-primer-semestre-de-2024/"</w:instrText>
      </w:r>
      <w:r>
        <w:rPr>
          <w:rStyle w:val="Hipervnculo"/>
          <w:rFonts w:ascii="Century Gothic" w:hAnsi="Century Gothic"/>
          <w:b/>
          <w:bCs/>
          <w:sz w:val="36"/>
          <w:szCs w:val="36"/>
        </w:rPr>
      </w:r>
      <w:r>
        <w:rPr>
          <w:rStyle w:val="Hipervnculo"/>
          <w:rFonts w:ascii="Century Gothic" w:hAnsi="Century Gothic"/>
          <w:b/>
          <w:bCs/>
          <w:sz w:val="36"/>
          <w:szCs w:val="36"/>
        </w:rPr>
        <w:fldChar w:fldCharType="separate"/>
      </w:r>
      <w:r w:rsidRPr="00321859">
        <w:rPr>
          <w:rStyle w:val="Hipervnculo"/>
          <w:rFonts w:ascii="Century Gothic" w:hAnsi="Century Gothic"/>
          <w:b/>
          <w:bCs/>
          <w:sz w:val="36"/>
          <w:szCs w:val="36"/>
        </w:rPr>
        <w:t>Las sociedades de garantía inyectaron 1.326 millones de euros a pymes y autónomos en el primer semestre de 2024</w:t>
      </w:r>
      <w:r>
        <w:rPr>
          <w:rStyle w:val="Hipervnculo"/>
          <w:rFonts w:ascii="Century Gothic" w:hAnsi="Century Gothic"/>
          <w:b/>
          <w:bCs/>
          <w:sz w:val="36"/>
          <w:szCs w:val="36"/>
        </w:rPr>
        <w:fldChar w:fldCharType="end"/>
      </w:r>
      <w:r>
        <w:rPr>
          <w:rStyle w:val="Hipervnculo"/>
          <w:rFonts w:ascii="Century Gothic" w:hAnsi="Century Gothic"/>
          <w:b/>
          <w:bCs/>
          <w:sz w:val="36"/>
          <w:szCs w:val="36"/>
        </w:rPr>
        <w:t xml:space="preserve"> </w:t>
      </w:r>
    </w:p>
    <w:p w14:paraId="1F5EACB6" w14:textId="73F6E93F" w:rsidR="00036D09" w:rsidRPr="00FC4056" w:rsidRDefault="00A37E78" w:rsidP="00036D09">
      <w:pPr>
        <w:shd w:val="clear" w:color="auto" w:fill="FFFFFF"/>
        <w:spacing w:after="0" w:line="240" w:lineRule="auto"/>
        <w:jc w:val="both"/>
        <w:rPr>
          <w:rFonts w:ascii="Century Gothic" w:eastAsia="Times New Roman" w:hAnsi="Century Gothic" w:cs="Times New Roman"/>
          <w:b/>
          <w:bCs/>
          <w:color w:val="24589A"/>
          <w:spacing w:val="-14"/>
          <w:sz w:val="36"/>
          <w:szCs w:val="36"/>
          <w:lang w:eastAsia="es-ES"/>
        </w:rPr>
      </w:pPr>
      <w:r w:rsidRPr="00FC4056">
        <w:rPr>
          <w:rFonts w:ascii="Century Gothic" w:eastAsia="Times New Roman" w:hAnsi="Century Gothic" w:cs="Times New Roman"/>
          <w:b/>
          <w:bCs/>
          <w:color w:val="24589A"/>
          <w:spacing w:val="-14"/>
          <w:sz w:val="36"/>
          <w:szCs w:val="36"/>
          <w:lang w:eastAsia="es-ES"/>
        </w:rPr>
        <w:t xml:space="preserve"> </w:t>
      </w:r>
    </w:p>
    <w:p w14:paraId="14273BC8" w14:textId="289BC27C" w:rsidR="00231B5C" w:rsidRPr="003468B7" w:rsidRDefault="00DB3CD7" w:rsidP="003468B7">
      <w:pPr>
        <w:shd w:val="clear" w:color="auto" w:fill="FFFFFF"/>
        <w:spacing w:after="0" w:line="240" w:lineRule="auto"/>
        <w:rPr>
          <w:rFonts w:ascii="Century Gothic" w:eastAsia="Times New Roman" w:hAnsi="Century Gothic" w:cs="Times New Roman"/>
          <w:color w:val="777777"/>
          <w:sz w:val="20"/>
          <w:szCs w:val="20"/>
          <w:lang w:eastAsia="es-ES"/>
        </w:rPr>
      </w:pPr>
      <w:r>
        <w:rPr>
          <w:rFonts w:ascii="Century Gothic" w:eastAsia="Times New Roman" w:hAnsi="Century Gothic" w:cs="Times New Roman"/>
          <w:color w:val="777777"/>
          <w:sz w:val="20"/>
          <w:szCs w:val="20"/>
          <w:lang w:eastAsia="es-ES"/>
        </w:rPr>
        <w:t xml:space="preserve">5 </w:t>
      </w:r>
      <w:r w:rsidRPr="003468B7">
        <w:rPr>
          <w:rFonts w:ascii="Century Gothic" w:eastAsia="Times New Roman" w:hAnsi="Century Gothic" w:cs="Times New Roman"/>
          <w:color w:val="777777"/>
          <w:sz w:val="20"/>
          <w:szCs w:val="20"/>
          <w:lang w:eastAsia="es-ES"/>
        </w:rPr>
        <w:t>de</w:t>
      </w:r>
      <w:r w:rsidR="003468B7" w:rsidRPr="003468B7">
        <w:rPr>
          <w:rFonts w:ascii="Century Gothic" w:eastAsia="Times New Roman" w:hAnsi="Century Gothic" w:cs="Times New Roman"/>
          <w:color w:val="777777"/>
          <w:sz w:val="20"/>
          <w:szCs w:val="20"/>
          <w:lang w:eastAsia="es-ES"/>
        </w:rPr>
        <w:t xml:space="preserve"> </w:t>
      </w:r>
      <w:r>
        <w:rPr>
          <w:rFonts w:ascii="Century Gothic" w:eastAsia="Times New Roman" w:hAnsi="Century Gothic" w:cs="Times New Roman"/>
          <w:color w:val="777777"/>
          <w:sz w:val="20"/>
          <w:szCs w:val="20"/>
          <w:lang w:eastAsia="es-ES"/>
        </w:rPr>
        <w:t>agosto</w:t>
      </w:r>
      <w:r w:rsidR="003468B7" w:rsidRPr="003468B7">
        <w:rPr>
          <w:rFonts w:ascii="Century Gothic" w:eastAsia="Times New Roman" w:hAnsi="Century Gothic" w:cs="Times New Roman"/>
          <w:color w:val="777777"/>
          <w:sz w:val="20"/>
          <w:szCs w:val="20"/>
          <w:lang w:eastAsia="es-ES"/>
        </w:rPr>
        <w:t xml:space="preserve"> de 202</w:t>
      </w:r>
      <w:r w:rsidR="00FC4056">
        <w:rPr>
          <w:rFonts w:ascii="Century Gothic" w:eastAsia="Times New Roman" w:hAnsi="Century Gothic" w:cs="Times New Roman"/>
          <w:color w:val="777777"/>
          <w:sz w:val="20"/>
          <w:szCs w:val="20"/>
          <w:lang w:eastAsia="es-ES"/>
        </w:rPr>
        <w:t>4</w:t>
      </w:r>
    </w:p>
    <w:p w14:paraId="402D1B6F" w14:textId="4D18DFF3" w:rsidR="00231B5C" w:rsidRPr="00231B5C" w:rsidRDefault="00282F74" w:rsidP="00231B5C">
      <w:pPr>
        <w:pStyle w:val="Prrafodelista"/>
        <w:numPr>
          <w:ilvl w:val="0"/>
          <w:numId w:val="3"/>
        </w:numPr>
        <w:shd w:val="clear" w:color="auto" w:fill="FFFFFF"/>
        <w:spacing w:after="0" w:line="240" w:lineRule="auto"/>
        <w:ind w:left="284" w:hanging="284"/>
        <w:rPr>
          <w:rFonts w:ascii="Century Gothic" w:eastAsia="Times New Roman" w:hAnsi="Century Gothic" w:cs="Times New Roman"/>
          <w:color w:val="777777"/>
          <w:sz w:val="20"/>
          <w:szCs w:val="20"/>
          <w:lang w:eastAsia="es-ES"/>
        </w:rPr>
      </w:pPr>
      <w:r w:rsidRPr="00231B5C">
        <w:rPr>
          <w:rFonts w:ascii="Century Gothic" w:eastAsia="Times New Roman" w:hAnsi="Century Gothic" w:cs="Times New Roman"/>
          <w:color w:val="777777"/>
          <w:sz w:val="20"/>
          <w:szCs w:val="20"/>
          <w:lang w:eastAsia="es-ES"/>
        </w:rPr>
        <w:t>Publicado por:</w:t>
      </w:r>
      <w:r w:rsidRPr="00231B5C">
        <w:rPr>
          <w:rFonts w:ascii="Century Gothic" w:eastAsia="Times New Roman" w:hAnsi="Century Gothic" w:cs="Times New Roman" w:hint="eastAsia"/>
          <w:color w:val="777777"/>
          <w:sz w:val="20"/>
          <w:szCs w:val="20"/>
          <w:lang w:eastAsia="es-ES"/>
        </w:rPr>
        <w:t> </w:t>
      </w:r>
      <w:r w:rsidR="00E86EE8" w:rsidRPr="00231B5C">
        <w:rPr>
          <w:rFonts w:ascii="Century Gothic" w:eastAsia="Times New Roman" w:hAnsi="Century Gothic" w:cs="Times New Roman"/>
          <w:color w:val="222222"/>
          <w:sz w:val="20"/>
          <w:szCs w:val="20"/>
          <w:lang w:eastAsia="es-ES"/>
        </w:rPr>
        <w:t>CERSA</w:t>
      </w:r>
    </w:p>
    <w:p w14:paraId="1D823882" w14:textId="6C4FD087" w:rsidR="00282F74" w:rsidRPr="00465352" w:rsidRDefault="00282F74" w:rsidP="00231B5C">
      <w:pPr>
        <w:pStyle w:val="Prrafodelista"/>
        <w:numPr>
          <w:ilvl w:val="0"/>
          <w:numId w:val="3"/>
        </w:numPr>
        <w:shd w:val="clear" w:color="auto" w:fill="FFFFFF"/>
        <w:spacing w:after="0" w:line="240" w:lineRule="auto"/>
        <w:ind w:left="284" w:hanging="284"/>
        <w:rPr>
          <w:rFonts w:ascii="Century Gothic" w:eastAsia="Times New Roman" w:hAnsi="Century Gothic" w:cs="Times New Roman"/>
          <w:color w:val="777777"/>
          <w:sz w:val="20"/>
          <w:szCs w:val="20"/>
          <w:lang w:eastAsia="es-ES"/>
        </w:rPr>
      </w:pPr>
      <w:r w:rsidRPr="00231B5C">
        <w:rPr>
          <w:rFonts w:ascii="Century Gothic" w:eastAsia="Times New Roman" w:hAnsi="Century Gothic" w:cs="Times New Roman"/>
          <w:color w:val="777777"/>
          <w:sz w:val="20"/>
          <w:szCs w:val="20"/>
          <w:lang w:eastAsia="es-ES"/>
        </w:rPr>
        <w:t>Categor</w:t>
      </w:r>
      <w:r w:rsidRPr="00231B5C">
        <w:rPr>
          <w:rFonts w:ascii="Century Gothic" w:eastAsia="Times New Roman" w:hAnsi="Century Gothic" w:cs="Times New Roman" w:hint="eastAsia"/>
          <w:color w:val="777777"/>
          <w:sz w:val="20"/>
          <w:szCs w:val="20"/>
          <w:lang w:eastAsia="es-ES"/>
        </w:rPr>
        <w:t>í</w:t>
      </w:r>
      <w:r w:rsidRPr="00231B5C">
        <w:rPr>
          <w:rFonts w:ascii="Century Gothic" w:eastAsia="Times New Roman" w:hAnsi="Century Gothic" w:cs="Times New Roman"/>
          <w:color w:val="777777"/>
          <w:sz w:val="20"/>
          <w:szCs w:val="20"/>
          <w:lang w:eastAsia="es-ES"/>
        </w:rPr>
        <w:t>a:</w:t>
      </w:r>
      <w:r w:rsidRPr="00231B5C">
        <w:rPr>
          <w:rFonts w:ascii="Century Gothic" w:eastAsia="Times New Roman" w:hAnsi="Century Gothic" w:cs="Times New Roman" w:hint="eastAsia"/>
          <w:color w:val="777777"/>
          <w:sz w:val="20"/>
          <w:szCs w:val="20"/>
          <w:lang w:eastAsia="es-ES"/>
        </w:rPr>
        <w:t> </w:t>
      </w:r>
      <w:r w:rsidRPr="00231B5C">
        <w:rPr>
          <w:rFonts w:ascii="Century Gothic" w:eastAsia="Times New Roman" w:hAnsi="Century Gothic" w:cs="Times New Roman"/>
          <w:color w:val="222222"/>
          <w:sz w:val="20"/>
          <w:szCs w:val="20"/>
          <w:lang w:eastAsia="es-ES"/>
        </w:rPr>
        <w:t>Noticias</w:t>
      </w:r>
    </w:p>
    <w:p w14:paraId="61714969" w14:textId="0EE8AF28" w:rsidR="00465352" w:rsidRDefault="00465352" w:rsidP="00465352">
      <w:pPr>
        <w:pStyle w:val="Prrafodelista"/>
        <w:shd w:val="clear" w:color="auto" w:fill="FFFFFF"/>
        <w:spacing w:after="0" w:line="240" w:lineRule="auto"/>
        <w:ind w:left="284"/>
        <w:rPr>
          <w:noProof/>
        </w:rPr>
      </w:pPr>
    </w:p>
    <w:p w14:paraId="6C8E40C2" w14:textId="0F945CB0" w:rsidR="00DB3CD7" w:rsidRPr="00231B5C" w:rsidRDefault="00DB3CD7" w:rsidP="00465352">
      <w:pPr>
        <w:pStyle w:val="Prrafodelista"/>
        <w:shd w:val="clear" w:color="auto" w:fill="FFFFFF"/>
        <w:spacing w:after="0" w:line="240" w:lineRule="auto"/>
        <w:ind w:left="284"/>
        <w:rPr>
          <w:rFonts w:ascii="Century Gothic" w:eastAsia="Times New Roman" w:hAnsi="Century Gothic" w:cs="Times New Roman"/>
          <w:color w:val="777777"/>
          <w:sz w:val="20"/>
          <w:szCs w:val="20"/>
          <w:lang w:eastAsia="es-ES"/>
        </w:rPr>
      </w:pPr>
      <w:r w:rsidRPr="00DB3CD7">
        <w:rPr>
          <w:rFonts w:ascii="Century Gothic" w:eastAsia="Times New Roman" w:hAnsi="Century Gothic" w:cs="Times New Roman"/>
          <w:color w:val="191919"/>
          <w:lang w:eastAsia="es-ES"/>
        </w:rPr>
        <w:drawing>
          <wp:anchor distT="0" distB="0" distL="114300" distR="114300" simplePos="0" relativeHeight="251660288" behindDoc="0" locked="0" layoutInCell="1" allowOverlap="1" wp14:anchorId="66914071" wp14:editId="47CD5B48">
            <wp:simplePos x="0" y="0"/>
            <wp:positionH relativeFrom="column">
              <wp:posOffset>3501390</wp:posOffset>
            </wp:positionH>
            <wp:positionV relativeFrom="paragraph">
              <wp:posOffset>36094</wp:posOffset>
            </wp:positionV>
            <wp:extent cx="1818294" cy="648435"/>
            <wp:effectExtent l="0" t="0" r="0" b="0"/>
            <wp:wrapNone/>
            <wp:docPr id="120484375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43759" name="Imagen 1" descr="Text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1820094" cy="64907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D83B814" wp14:editId="7DD890A3">
            <wp:simplePos x="0" y="0"/>
            <wp:positionH relativeFrom="column">
              <wp:posOffset>-85725</wp:posOffset>
            </wp:positionH>
            <wp:positionV relativeFrom="paragraph">
              <wp:posOffset>75565</wp:posOffset>
            </wp:positionV>
            <wp:extent cx="2362835" cy="619125"/>
            <wp:effectExtent l="0" t="0" r="0" b="0"/>
            <wp:wrapNone/>
            <wp:docPr id="5" name="Imagen 5" descr="Cesgar Sociedades de Garantía Recípro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gar Sociedades de Garantía Recípro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83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42376BE" wp14:editId="3669536C">
                <wp:extent cx="304800" cy="304800"/>
                <wp:effectExtent l="0" t="0" r="0" b="0"/>
                <wp:docPr id="471801163" name="Rectángulo 1" descr="Las sociedades de garantía inyectaron 1.326 millones de euros a pymes y autónomos en el primer semestre de 2024 ultimas noticias cesg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DDC09" id="Rectángulo 1" o:spid="_x0000_s1026" alt="Las sociedades de garantía inyectaron 1.326 millones de euros a pymes y autónomos en el primer semestre de 2024 ultimas noticias cesg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2E568A" w14:textId="1CC0E85A" w:rsidR="00465352" w:rsidRDefault="00465352" w:rsidP="00465352">
      <w:pPr>
        <w:shd w:val="clear" w:color="auto" w:fill="FFFFFF"/>
        <w:spacing w:after="225" w:line="390" w:lineRule="atLeast"/>
        <w:rPr>
          <w:rFonts w:ascii="Century Gothic" w:eastAsia="Times New Roman" w:hAnsi="Century Gothic" w:cs="Times New Roman"/>
          <w:color w:val="222222"/>
          <w:sz w:val="23"/>
          <w:szCs w:val="23"/>
          <w:lang w:eastAsia="es-ES"/>
        </w:rPr>
      </w:pPr>
    </w:p>
    <w:p w14:paraId="2C0FB37B" w14:textId="65E00477" w:rsidR="00465352" w:rsidRDefault="00DB3CD7" w:rsidP="00465352">
      <w:pPr>
        <w:shd w:val="clear" w:color="auto" w:fill="FFFFFF"/>
        <w:spacing w:after="225" w:line="390" w:lineRule="atLeast"/>
        <w:rPr>
          <w:rFonts w:ascii="Century Gothic" w:eastAsia="Times New Roman" w:hAnsi="Century Gothic" w:cs="Times New Roman"/>
          <w:color w:val="222222"/>
          <w:sz w:val="23"/>
          <w:szCs w:val="23"/>
          <w:lang w:eastAsia="es-ES"/>
        </w:rPr>
      </w:pPr>
      <w:r>
        <w:rPr>
          <w:noProof/>
        </w:rPr>
        <mc:AlternateContent>
          <mc:Choice Requires="wps">
            <w:drawing>
              <wp:inline distT="0" distB="0" distL="0" distR="0" wp14:anchorId="255B2A9D" wp14:editId="78DD3C27">
                <wp:extent cx="304800" cy="304800"/>
                <wp:effectExtent l="0" t="0" r="0" b="0"/>
                <wp:docPr id="2081197987" name="Rectángulo 2" descr="Las sociedades de garantía inyectaron 1.326 millones de euros a pymes y autónomos en el primer semestre de 2024 ultimas noticias cesg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35F24" id="Rectángulo 2" o:spid="_x0000_s1026" alt="Las sociedades de garantía inyectaron 1.326 millones de euros a pymes y autónomos en el primer semestre de 2024 ultimas noticias cesg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D580EE" w14:textId="330105EF" w:rsidR="003F1BF4" w:rsidRPr="00FC4056" w:rsidRDefault="00FC4056" w:rsidP="00FC4056">
      <w:pPr>
        <w:pStyle w:val="Prrafodelista"/>
        <w:numPr>
          <w:ilvl w:val="0"/>
          <w:numId w:val="3"/>
        </w:numPr>
        <w:shd w:val="clear" w:color="auto" w:fill="FFFFFF"/>
        <w:spacing w:line="390" w:lineRule="atLeast"/>
        <w:ind w:left="426"/>
        <w:jc w:val="both"/>
        <w:rPr>
          <w:rFonts w:ascii="Century Gothic" w:eastAsia="Times New Roman" w:hAnsi="Century Gothic" w:cs="Times New Roman"/>
          <w:color w:val="404040" w:themeColor="text1" w:themeTint="BF"/>
          <w:sz w:val="23"/>
          <w:szCs w:val="23"/>
          <w:lang w:eastAsia="es-ES"/>
        </w:rPr>
      </w:pPr>
      <w:r w:rsidRPr="00FC4056">
        <w:rPr>
          <w:rFonts w:ascii="Century Gothic" w:eastAsia="Times New Roman" w:hAnsi="Century Gothic" w:cs="Times New Roman"/>
          <w:b/>
          <w:bCs/>
          <w:color w:val="404040" w:themeColor="text1" w:themeTint="BF"/>
          <w:sz w:val="20"/>
          <w:szCs w:val="20"/>
          <w:lang w:eastAsia="es-ES"/>
        </w:rPr>
        <w:t>Impulso y apoyo integral de las Sociedades de Garantía a las pymes y autónomos</w:t>
      </w:r>
    </w:p>
    <w:p w14:paraId="1BC0171C" w14:textId="597BE398" w:rsidR="00231B5C" w:rsidRPr="00231B5C" w:rsidRDefault="00231B5C" w:rsidP="00231B5C">
      <w:pPr>
        <w:jc w:val="both"/>
        <w:rPr>
          <w:rFonts w:ascii="Century Gothic" w:eastAsia="Times New Roman" w:hAnsi="Century Gothic" w:cs="Times New Roman"/>
          <w:b/>
          <w:color w:val="404040" w:themeColor="text1" w:themeTint="BF"/>
          <w:sz w:val="23"/>
          <w:szCs w:val="23"/>
          <w:lang w:eastAsia="es-ES"/>
        </w:rPr>
      </w:pPr>
      <w:r>
        <w:rPr>
          <w:rFonts w:ascii="Century Gothic" w:eastAsia="Times New Roman" w:hAnsi="Century Gothic" w:cs="Times New Roman"/>
          <w:b/>
          <w:color w:val="404040" w:themeColor="text1" w:themeTint="BF"/>
          <w:sz w:val="23"/>
          <w:szCs w:val="23"/>
          <w:lang w:eastAsia="es-ES"/>
        </w:rPr>
        <w:t>Artículo publicado en</w:t>
      </w:r>
      <w:r w:rsidR="007C6400">
        <w:rPr>
          <w:rFonts w:ascii="Century Gothic" w:eastAsia="Times New Roman" w:hAnsi="Century Gothic" w:cs="Times New Roman"/>
          <w:b/>
          <w:color w:val="404040" w:themeColor="text1" w:themeTint="BF"/>
          <w:sz w:val="23"/>
          <w:szCs w:val="23"/>
          <w:lang w:eastAsia="es-ES"/>
        </w:rPr>
        <w:t xml:space="preserve"> la web</w:t>
      </w:r>
      <w:r>
        <w:rPr>
          <w:rFonts w:ascii="Century Gothic" w:eastAsia="Times New Roman" w:hAnsi="Century Gothic" w:cs="Times New Roman"/>
          <w:b/>
          <w:color w:val="404040" w:themeColor="text1" w:themeTint="BF"/>
          <w:sz w:val="23"/>
          <w:szCs w:val="23"/>
          <w:lang w:eastAsia="es-ES"/>
        </w:rPr>
        <w:t xml:space="preserve"> </w:t>
      </w:r>
      <w:r w:rsidR="00DB3CD7">
        <w:rPr>
          <w:rFonts w:ascii="Century Gothic" w:eastAsia="Times New Roman" w:hAnsi="Century Gothic" w:cs="Times New Roman"/>
          <w:b/>
          <w:color w:val="404040" w:themeColor="text1" w:themeTint="BF"/>
          <w:sz w:val="23"/>
          <w:szCs w:val="23"/>
          <w:lang w:eastAsia="es-ES"/>
        </w:rPr>
        <w:t>CESGAR</w:t>
      </w:r>
      <w:r w:rsidRPr="00231B5C">
        <w:rPr>
          <w:rFonts w:ascii="Century Gothic" w:eastAsia="Times New Roman" w:hAnsi="Century Gothic" w:cs="Times New Roman"/>
          <w:b/>
          <w:color w:val="404040" w:themeColor="text1" w:themeTint="BF"/>
          <w:sz w:val="23"/>
          <w:szCs w:val="23"/>
          <w:lang w:eastAsia="es-ES"/>
        </w:rPr>
        <w:t xml:space="preserve"> </w:t>
      </w:r>
      <w:r w:rsidR="007C6400">
        <w:rPr>
          <w:rFonts w:ascii="Century Gothic" w:eastAsia="Times New Roman" w:hAnsi="Century Gothic" w:cs="Times New Roman"/>
          <w:b/>
          <w:color w:val="404040" w:themeColor="text1" w:themeTint="BF"/>
          <w:sz w:val="23"/>
          <w:szCs w:val="23"/>
          <w:lang w:eastAsia="es-ES"/>
        </w:rPr>
        <w:t xml:space="preserve">el </w:t>
      </w:r>
      <w:r w:rsidR="00DB3CD7">
        <w:rPr>
          <w:rFonts w:ascii="Century Gothic" w:eastAsia="Times New Roman" w:hAnsi="Century Gothic" w:cs="Times New Roman"/>
          <w:b/>
          <w:color w:val="404040" w:themeColor="text1" w:themeTint="BF"/>
          <w:sz w:val="23"/>
          <w:szCs w:val="23"/>
          <w:lang w:eastAsia="es-ES"/>
        </w:rPr>
        <w:t>5</w:t>
      </w:r>
      <w:r w:rsidR="007C6400">
        <w:rPr>
          <w:rFonts w:ascii="Century Gothic" w:eastAsia="Times New Roman" w:hAnsi="Century Gothic" w:cs="Times New Roman"/>
          <w:b/>
          <w:color w:val="404040" w:themeColor="text1" w:themeTint="BF"/>
          <w:sz w:val="23"/>
          <w:szCs w:val="23"/>
          <w:lang w:eastAsia="es-ES"/>
        </w:rPr>
        <w:t>/0</w:t>
      </w:r>
      <w:r w:rsidR="00DB3CD7">
        <w:rPr>
          <w:rFonts w:ascii="Century Gothic" w:eastAsia="Times New Roman" w:hAnsi="Century Gothic" w:cs="Times New Roman"/>
          <w:b/>
          <w:color w:val="404040" w:themeColor="text1" w:themeTint="BF"/>
          <w:sz w:val="23"/>
          <w:szCs w:val="23"/>
          <w:lang w:eastAsia="es-ES"/>
        </w:rPr>
        <w:t>8</w:t>
      </w:r>
      <w:r w:rsidR="007C6400">
        <w:rPr>
          <w:rFonts w:ascii="Century Gothic" w:eastAsia="Times New Roman" w:hAnsi="Century Gothic" w:cs="Times New Roman"/>
          <w:b/>
          <w:color w:val="404040" w:themeColor="text1" w:themeTint="BF"/>
          <w:sz w:val="23"/>
          <w:szCs w:val="23"/>
          <w:lang w:eastAsia="es-ES"/>
        </w:rPr>
        <w:t>/202</w:t>
      </w:r>
      <w:r w:rsidR="00FC4056">
        <w:rPr>
          <w:rFonts w:ascii="Century Gothic" w:eastAsia="Times New Roman" w:hAnsi="Century Gothic" w:cs="Times New Roman"/>
          <w:b/>
          <w:color w:val="404040" w:themeColor="text1" w:themeTint="BF"/>
          <w:sz w:val="23"/>
          <w:szCs w:val="23"/>
          <w:lang w:eastAsia="es-ES"/>
        </w:rPr>
        <w:t>4</w:t>
      </w:r>
      <w:r w:rsidRPr="00231B5C">
        <w:rPr>
          <w:rFonts w:ascii="Century Gothic" w:eastAsia="Times New Roman" w:hAnsi="Century Gothic" w:cs="Times New Roman"/>
          <w:b/>
          <w:color w:val="404040" w:themeColor="text1" w:themeTint="BF"/>
          <w:sz w:val="23"/>
          <w:szCs w:val="23"/>
          <w:lang w:eastAsia="es-ES"/>
        </w:rPr>
        <w:t xml:space="preserve"> </w:t>
      </w:r>
    </w:p>
    <w:p w14:paraId="5CF4BB3C" w14:textId="3542A72E"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r w:rsidRPr="00DB3CD7">
        <w:rPr>
          <w:rFonts w:ascii="Century Gothic" w:eastAsia="Times New Roman" w:hAnsi="Century Gothic" w:cs="Times New Roman"/>
          <w:color w:val="191919"/>
          <w:lang w:eastAsia="es-ES"/>
        </w:rPr>
        <w:t xml:space="preserve">En el primer semestre de 2024, las 18 </w:t>
      </w:r>
      <w:r>
        <w:rPr>
          <w:rFonts w:ascii="Century Gothic" w:eastAsia="Times New Roman" w:hAnsi="Century Gothic" w:cs="Times New Roman"/>
          <w:color w:val="191919"/>
          <w:lang w:eastAsia="es-ES"/>
        </w:rPr>
        <w:t>S</w:t>
      </w:r>
      <w:r w:rsidRPr="00DB3CD7">
        <w:rPr>
          <w:rFonts w:ascii="Century Gothic" w:eastAsia="Times New Roman" w:hAnsi="Century Gothic" w:cs="Times New Roman"/>
          <w:color w:val="191919"/>
          <w:lang w:eastAsia="es-ES"/>
        </w:rPr>
        <w:t xml:space="preserve">ociedades de </w:t>
      </w:r>
      <w:r>
        <w:rPr>
          <w:rFonts w:ascii="Century Gothic" w:eastAsia="Times New Roman" w:hAnsi="Century Gothic" w:cs="Times New Roman"/>
          <w:color w:val="191919"/>
          <w:lang w:eastAsia="es-ES"/>
        </w:rPr>
        <w:t>G</w:t>
      </w:r>
      <w:r w:rsidRPr="00DB3CD7">
        <w:rPr>
          <w:rFonts w:ascii="Century Gothic" w:eastAsia="Times New Roman" w:hAnsi="Century Gothic" w:cs="Times New Roman"/>
          <w:color w:val="191919"/>
          <w:lang w:eastAsia="es-ES"/>
        </w:rPr>
        <w:t xml:space="preserve">arantía </w:t>
      </w:r>
      <w:r>
        <w:rPr>
          <w:rFonts w:ascii="Century Gothic" w:eastAsia="Times New Roman" w:hAnsi="Century Gothic" w:cs="Times New Roman"/>
          <w:color w:val="191919"/>
          <w:lang w:eastAsia="es-ES"/>
        </w:rPr>
        <w:t>R</w:t>
      </w:r>
      <w:r w:rsidRPr="00DB3CD7">
        <w:rPr>
          <w:rFonts w:ascii="Century Gothic" w:eastAsia="Times New Roman" w:hAnsi="Century Gothic" w:cs="Times New Roman"/>
          <w:color w:val="191919"/>
          <w:lang w:eastAsia="es-ES"/>
        </w:rPr>
        <w:t>ecíproca que operan en España inyectaron financiación por valor de 1.326 millones de euros a pymes y autónomos de todo el país, a partir de 11.836 avales formalizados. De esta forma, la financiación facilitada por las SGR ya beneficia a 178.685 pymes, autónomos y emprendedores, que mantienen activos créditos y préstamos por valor de 7.766 millones de euros (riesgo vivo) y contribuyen al mantenimiento de más de 1 millón de puestos de trabajo.</w:t>
      </w:r>
      <w:r>
        <w:rPr>
          <w:rFonts w:ascii="Century Gothic" w:eastAsia="Times New Roman" w:hAnsi="Century Gothic" w:cs="Times New Roman"/>
          <w:color w:val="191919"/>
          <w:lang w:eastAsia="es-ES"/>
        </w:rPr>
        <w:t xml:space="preserve"> </w:t>
      </w:r>
      <w:r w:rsidRPr="00DB3CD7">
        <w:rPr>
          <w:rFonts w:ascii="Century Gothic" w:eastAsia="Times New Roman" w:hAnsi="Century Gothic" w:cs="Times New Roman"/>
          <w:color w:val="191919"/>
          <w:lang w:eastAsia="es-ES"/>
        </w:rPr>
        <w:t xml:space="preserve">La concesión de esta financiación también ha sido posible gracias al reaval de CERSA (Compañía Española de Reafianzamiento), destacando la canalización de los Fondos </w:t>
      </w:r>
      <w:hyperlink r:id="rId8" w:history="1">
        <w:proofErr w:type="spellStart"/>
        <w:r w:rsidRPr="00DB3CD7">
          <w:rPr>
            <w:rStyle w:val="Hipervnculo"/>
            <w:rFonts w:ascii="Century Gothic" w:eastAsia="Times New Roman" w:hAnsi="Century Gothic" w:cs="Times New Roman"/>
            <w:lang w:eastAsia="es-ES"/>
          </w:rPr>
          <w:t>NextGeneration</w:t>
        </w:r>
        <w:r w:rsidRPr="00DB3CD7">
          <w:rPr>
            <w:rStyle w:val="Hipervnculo"/>
            <w:rFonts w:ascii="Century Gothic" w:eastAsia="Times New Roman" w:hAnsi="Century Gothic" w:cs="Times New Roman"/>
            <w:lang w:eastAsia="es-ES"/>
          </w:rPr>
          <w:t>EU</w:t>
        </w:r>
        <w:proofErr w:type="spellEnd"/>
      </w:hyperlink>
      <w:r w:rsidRPr="00DB3CD7">
        <w:rPr>
          <w:rFonts w:ascii="Century Gothic" w:eastAsia="Times New Roman" w:hAnsi="Century Gothic" w:cs="Times New Roman"/>
          <w:color w:val="191919"/>
          <w:lang w:eastAsia="es-ES"/>
        </w:rPr>
        <w:t xml:space="preserve">, puestos a disposición de esta entidad dentro del </w:t>
      </w:r>
      <w:hyperlink r:id="rId9" w:history="1">
        <w:r w:rsidRPr="00DB3CD7">
          <w:rPr>
            <w:rStyle w:val="Hipervnculo"/>
            <w:rFonts w:ascii="Century Gothic" w:eastAsia="Times New Roman" w:hAnsi="Century Gothic" w:cs="Times New Roman"/>
            <w:lang w:eastAsia="es-ES"/>
          </w:rPr>
          <w:t>Plan de Recuperación, Transformación y Resiliencia (PRTR)</w:t>
        </w:r>
      </w:hyperlink>
      <w:r w:rsidRPr="00DB3CD7">
        <w:rPr>
          <w:rFonts w:ascii="Century Gothic" w:eastAsia="Times New Roman" w:hAnsi="Century Gothic" w:cs="Times New Roman"/>
          <w:color w:val="191919"/>
          <w:lang w:eastAsia="es-ES"/>
        </w:rPr>
        <w:t>. “Gracias a estos fondos, estamos favoreciendo la financiación de proyectos ligados a la digitalización y la sostenibilidad”, explica Salcedo. “La clave del éxito de nuestro sistema de garantías es la colaboración público-privada y, en este sentido, el reaval es una pieza esencial”, continúa. “En los próximos meses, las SGR queremos seguir siendo un agente clave en la canalización de estos fondos, que están ayudando a impulsar la economía de nuestro país”, concluye.</w:t>
      </w:r>
    </w:p>
    <w:p w14:paraId="33BFDDB7"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0" w:tgtFrame="_blank" w:history="1">
        <w:r w:rsidRPr="00DB3CD7">
          <w:rPr>
            <w:rStyle w:val="Hipervnculo"/>
            <w:rFonts w:ascii="Century Gothic" w:eastAsia="Times New Roman" w:hAnsi="Century Gothic" w:cs="Times New Roman"/>
            <w:b/>
            <w:bCs/>
            <w:lang w:eastAsia="es-ES"/>
          </w:rPr>
          <w:t>Medio: El Periódico de España</w:t>
        </w:r>
      </w:hyperlink>
    </w:p>
    <w:p w14:paraId="62A9850D"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1" w:tgtFrame="_blank" w:history="1">
        <w:r w:rsidRPr="00DB3CD7">
          <w:rPr>
            <w:rStyle w:val="Hipervnculo"/>
            <w:rFonts w:ascii="Century Gothic" w:eastAsia="Times New Roman" w:hAnsi="Century Gothic" w:cs="Times New Roman"/>
            <w:b/>
            <w:bCs/>
            <w:lang w:eastAsia="es-ES"/>
          </w:rPr>
          <w:t>Medio: La Razón</w:t>
        </w:r>
      </w:hyperlink>
    </w:p>
    <w:p w14:paraId="1C62402E"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2" w:tgtFrame="_blank" w:history="1">
        <w:r w:rsidRPr="00DB3CD7">
          <w:rPr>
            <w:rStyle w:val="Hipervnculo"/>
            <w:rFonts w:ascii="Century Gothic" w:eastAsia="Times New Roman" w:hAnsi="Century Gothic" w:cs="Times New Roman"/>
            <w:b/>
            <w:bCs/>
            <w:lang w:eastAsia="es-ES"/>
          </w:rPr>
          <w:t xml:space="preserve">Medio: Europa </w:t>
        </w:r>
        <w:proofErr w:type="spellStart"/>
        <w:r w:rsidRPr="00DB3CD7">
          <w:rPr>
            <w:rStyle w:val="Hipervnculo"/>
            <w:rFonts w:ascii="Century Gothic" w:eastAsia="Times New Roman" w:hAnsi="Century Gothic" w:cs="Times New Roman"/>
            <w:b/>
            <w:bCs/>
            <w:lang w:eastAsia="es-ES"/>
          </w:rPr>
          <w:t>Press</w:t>
        </w:r>
        <w:proofErr w:type="spellEnd"/>
      </w:hyperlink>
    </w:p>
    <w:p w14:paraId="0044F33D"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3" w:tgtFrame="_blank" w:history="1">
        <w:r w:rsidRPr="00DB3CD7">
          <w:rPr>
            <w:rStyle w:val="Hipervnculo"/>
            <w:rFonts w:ascii="Century Gothic" w:eastAsia="Times New Roman" w:hAnsi="Century Gothic" w:cs="Times New Roman"/>
            <w:b/>
            <w:bCs/>
            <w:lang w:eastAsia="es-ES"/>
          </w:rPr>
          <w:t>Medio: Diario Financiero</w:t>
        </w:r>
      </w:hyperlink>
    </w:p>
    <w:p w14:paraId="70342C6C"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4" w:tgtFrame="_blank" w:history="1">
        <w:r w:rsidRPr="00DB3CD7">
          <w:rPr>
            <w:rStyle w:val="Hipervnculo"/>
            <w:rFonts w:ascii="Century Gothic" w:eastAsia="Times New Roman" w:hAnsi="Century Gothic" w:cs="Times New Roman"/>
            <w:b/>
            <w:bCs/>
            <w:lang w:eastAsia="es-ES"/>
          </w:rPr>
          <w:t>Medio: Dirigentes Digital</w:t>
        </w:r>
      </w:hyperlink>
    </w:p>
    <w:p w14:paraId="1C990D18" w14:textId="77777777" w:rsidR="00DB3CD7" w:rsidRPr="00DB3CD7" w:rsidRDefault="00DB3CD7" w:rsidP="00DB3CD7">
      <w:pPr>
        <w:shd w:val="clear" w:color="auto" w:fill="FFFFFF"/>
        <w:spacing w:line="390" w:lineRule="atLeast"/>
        <w:jc w:val="both"/>
        <w:rPr>
          <w:rFonts w:ascii="Century Gothic" w:eastAsia="Times New Roman" w:hAnsi="Century Gothic" w:cs="Times New Roman"/>
          <w:color w:val="191919"/>
          <w:lang w:eastAsia="es-ES"/>
        </w:rPr>
      </w:pPr>
      <w:hyperlink r:id="rId15" w:tgtFrame="_blank" w:history="1">
        <w:r w:rsidRPr="00DB3CD7">
          <w:rPr>
            <w:rStyle w:val="Hipervnculo"/>
            <w:rFonts w:ascii="Century Gothic" w:eastAsia="Times New Roman" w:hAnsi="Century Gothic" w:cs="Times New Roman"/>
            <w:b/>
            <w:bCs/>
            <w:lang w:eastAsia="es-ES"/>
          </w:rPr>
          <w:t>Medio: Mercad2</w:t>
        </w:r>
      </w:hyperlink>
    </w:p>
    <w:p w14:paraId="7B8AD05D" w14:textId="77777777" w:rsidR="00FC4056" w:rsidRDefault="00FC4056" w:rsidP="00FC4056">
      <w:pPr>
        <w:shd w:val="clear" w:color="auto" w:fill="FFFFFF"/>
        <w:spacing w:line="390" w:lineRule="atLeast"/>
        <w:jc w:val="both"/>
        <w:rPr>
          <w:rFonts w:ascii="Century Gothic" w:eastAsia="Times New Roman" w:hAnsi="Century Gothic" w:cs="Times New Roman"/>
          <w:b/>
          <w:bCs/>
          <w:color w:val="404040" w:themeColor="text1" w:themeTint="BF"/>
          <w:sz w:val="23"/>
          <w:szCs w:val="23"/>
          <w:lang w:eastAsia="es-ES"/>
        </w:rPr>
      </w:pPr>
    </w:p>
    <w:p w14:paraId="1EAE83D8" w14:textId="64C52E37" w:rsidR="00282F74" w:rsidRPr="00067712" w:rsidRDefault="00282F74" w:rsidP="00FC4056">
      <w:pPr>
        <w:shd w:val="clear" w:color="auto" w:fill="FFFFFF"/>
        <w:spacing w:line="390" w:lineRule="atLeast"/>
        <w:jc w:val="both"/>
        <w:rPr>
          <w:rFonts w:ascii="Century Gothic" w:eastAsia="Times New Roman" w:hAnsi="Century Gothic" w:cs="Times New Roman"/>
          <w:color w:val="404040" w:themeColor="text1" w:themeTint="BF"/>
          <w:sz w:val="23"/>
          <w:szCs w:val="23"/>
          <w:lang w:eastAsia="es-ES"/>
        </w:rPr>
      </w:pPr>
      <w:r w:rsidRPr="00067712">
        <w:rPr>
          <w:rFonts w:ascii="Century Gothic" w:eastAsia="Times New Roman" w:hAnsi="Century Gothic" w:cs="Times New Roman"/>
          <w:b/>
          <w:bCs/>
          <w:color w:val="404040" w:themeColor="text1" w:themeTint="BF"/>
          <w:sz w:val="23"/>
          <w:szCs w:val="23"/>
          <w:lang w:eastAsia="es-ES"/>
        </w:rPr>
        <w:t>Las SGR cuentan con una gran capilaridad territorial y capacidad de llegar a</w:t>
      </w:r>
      <w:r w:rsidR="00067712" w:rsidRPr="00067712">
        <w:rPr>
          <w:rFonts w:ascii="Century Gothic" w:eastAsia="Times New Roman" w:hAnsi="Century Gothic" w:cs="Times New Roman"/>
          <w:b/>
          <w:bCs/>
          <w:color w:val="404040" w:themeColor="text1" w:themeTint="BF"/>
          <w:sz w:val="23"/>
          <w:szCs w:val="23"/>
          <w:lang w:eastAsia="es-ES"/>
        </w:rPr>
        <w:t xml:space="preserve"> pymes </w:t>
      </w:r>
      <w:r w:rsidRPr="00067712">
        <w:rPr>
          <w:rFonts w:ascii="Century Gothic" w:eastAsia="Times New Roman" w:hAnsi="Century Gothic" w:cs="Times New Roman"/>
          <w:b/>
          <w:bCs/>
          <w:color w:val="404040" w:themeColor="text1" w:themeTint="BF"/>
          <w:sz w:val="23"/>
          <w:szCs w:val="23"/>
          <w:lang w:eastAsia="es-ES"/>
        </w:rPr>
        <w:t>y a aut</w:t>
      </w:r>
      <w:r w:rsidRPr="00067712">
        <w:rPr>
          <w:rFonts w:ascii="Century Gothic" w:eastAsia="Times New Roman" w:hAnsi="Century Gothic" w:cs="Times New Roman" w:hint="eastAsia"/>
          <w:b/>
          <w:bCs/>
          <w:color w:val="404040" w:themeColor="text1" w:themeTint="BF"/>
          <w:sz w:val="23"/>
          <w:szCs w:val="23"/>
          <w:lang w:eastAsia="es-ES"/>
        </w:rPr>
        <w:t>ó</w:t>
      </w:r>
      <w:r w:rsidRPr="00067712">
        <w:rPr>
          <w:rFonts w:ascii="Century Gothic" w:eastAsia="Times New Roman" w:hAnsi="Century Gothic" w:cs="Times New Roman"/>
          <w:b/>
          <w:bCs/>
          <w:color w:val="404040" w:themeColor="text1" w:themeTint="BF"/>
          <w:sz w:val="23"/>
          <w:szCs w:val="23"/>
          <w:lang w:eastAsia="es-ES"/>
        </w:rPr>
        <w:t>nomo</w:t>
      </w:r>
      <w:r w:rsidR="00067712" w:rsidRPr="00067712">
        <w:rPr>
          <w:rFonts w:ascii="Century Gothic" w:eastAsia="Times New Roman" w:hAnsi="Century Gothic" w:cs="Times New Roman"/>
          <w:b/>
          <w:bCs/>
          <w:color w:val="404040" w:themeColor="text1" w:themeTint="BF"/>
          <w:sz w:val="23"/>
          <w:szCs w:val="23"/>
          <w:lang w:eastAsia="es-ES"/>
        </w:rPr>
        <w:t>s</w:t>
      </w:r>
      <w:r w:rsidRPr="00067712">
        <w:rPr>
          <w:rFonts w:ascii="Century Gothic" w:eastAsia="Times New Roman" w:hAnsi="Century Gothic" w:cs="Times New Roman"/>
          <w:b/>
          <w:bCs/>
          <w:color w:val="404040" w:themeColor="text1" w:themeTint="BF"/>
          <w:sz w:val="23"/>
          <w:szCs w:val="23"/>
          <w:lang w:eastAsia="es-ES"/>
        </w:rPr>
        <w:t>.</w:t>
      </w:r>
    </w:p>
    <w:p w14:paraId="2804BD7A" w14:textId="77777777" w:rsidR="003F1BF4" w:rsidRDefault="003F1BF4" w:rsidP="00243848">
      <w:pPr>
        <w:shd w:val="clear" w:color="auto" w:fill="FFFFFF" w:themeFill="background1"/>
        <w:spacing w:after="120"/>
        <w:jc w:val="both"/>
        <w:rPr>
          <w:rFonts w:ascii="Century Gothic" w:hAnsi="Century Gothic"/>
          <w:color w:val="17375E"/>
          <w:sz w:val="21"/>
          <w:szCs w:val="21"/>
        </w:rPr>
      </w:pPr>
      <w:r>
        <w:rPr>
          <w:rFonts w:ascii="Century Gothic" w:hAnsi="Century Gothic"/>
          <w:color w:val="17375E"/>
          <w:sz w:val="21"/>
          <w:szCs w:val="21"/>
        </w:rPr>
        <w:t xml:space="preserve">Para solicitar la financiación y operar con los avales dirigirse a </w:t>
      </w:r>
      <w:proofErr w:type="spellStart"/>
      <w:r>
        <w:rPr>
          <w:rFonts w:ascii="Century Gothic" w:hAnsi="Century Gothic"/>
          <w:b/>
          <w:color w:val="17375E"/>
          <w:sz w:val="21"/>
          <w:szCs w:val="21"/>
        </w:rPr>
        <w:t>ConAvalSí</w:t>
      </w:r>
      <w:proofErr w:type="spellEnd"/>
      <w:r>
        <w:rPr>
          <w:rFonts w:ascii="Century Gothic" w:hAnsi="Century Gothic"/>
          <w:b/>
          <w:color w:val="17375E"/>
          <w:sz w:val="21"/>
          <w:szCs w:val="21"/>
        </w:rPr>
        <w:t>:</w:t>
      </w:r>
    </w:p>
    <w:p w14:paraId="58E5BA26" w14:textId="77777777" w:rsidR="003F1BF4" w:rsidRDefault="003F1BF4" w:rsidP="003F1BF4">
      <w:pPr>
        <w:shd w:val="clear" w:color="auto" w:fill="FFFFFF" w:themeFill="background1"/>
        <w:spacing w:after="0" w:line="420" w:lineRule="atLeast"/>
        <w:jc w:val="center"/>
        <w:outlineLvl w:val="3"/>
        <w:rPr>
          <w:rFonts w:ascii="Montserrat" w:eastAsia="Times New Roman" w:hAnsi="Montserrat" w:cs="Times New Roman"/>
          <w:color w:val="24589A"/>
          <w:spacing w:val="-10"/>
          <w:sz w:val="30"/>
          <w:szCs w:val="30"/>
          <w:lang w:eastAsia="es-ES"/>
        </w:rPr>
      </w:pPr>
      <w:r>
        <w:rPr>
          <w:rFonts w:ascii="Montserrat" w:eastAsia="Times New Roman" w:hAnsi="Montserrat" w:cs="Times New Roman"/>
          <w:noProof/>
          <w:color w:val="6C98E1"/>
          <w:spacing w:val="-10"/>
          <w:sz w:val="30"/>
          <w:szCs w:val="30"/>
          <w:lang w:eastAsia="es-ES"/>
        </w:rPr>
        <w:drawing>
          <wp:inline distT="0" distB="0" distL="0" distR="0" wp14:anchorId="03E7F179" wp14:editId="742755FE">
            <wp:extent cx="2200910" cy="584835"/>
            <wp:effectExtent l="0" t="0" r="0" b="0"/>
            <wp:docPr id="2" name="Imagen 2" descr="http://www.cersa-sme.es/wp-content/uploads/2018/07/conavalsi.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ersa-sme.es/wp-content/uploads/2018/07/conavalsi.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910" cy="584835"/>
                    </a:xfrm>
                    <a:prstGeom prst="rect">
                      <a:avLst/>
                    </a:prstGeom>
                    <a:noFill/>
                    <a:ln>
                      <a:noFill/>
                    </a:ln>
                  </pic:spPr>
                </pic:pic>
              </a:graphicData>
            </a:graphic>
          </wp:inline>
        </w:drawing>
      </w:r>
    </w:p>
    <w:p w14:paraId="002332ED" w14:textId="77777777" w:rsidR="003F1BF4" w:rsidRDefault="003F1BF4" w:rsidP="00243848">
      <w:pPr>
        <w:spacing w:after="120"/>
        <w:jc w:val="both"/>
        <w:rPr>
          <w:rFonts w:ascii="Century Gothic" w:hAnsi="Century Gothic"/>
          <w:color w:val="17375E"/>
          <w:sz w:val="21"/>
          <w:szCs w:val="21"/>
        </w:rPr>
      </w:pPr>
      <w:proofErr w:type="spellStart"/>
      <w:r>
        <w:rPr>
          <w:rFonts w:ascii="Century Gothic" w:hAnsi="Century Gothic"/>
          <w:b/>
          <w:color w:val="17375E"/>
          <w:sz w:val="21"/>
          <w:szCs w:val="21"/>
        </w:rPr>
        <w:t>ConAvalSí</w:t>
      </w:r>
      <w:proofErr w:type="spellEnd"/>
      <w:r>
        <w:rPr>
          <w:rFonts w:ascii="Century Gothic" w:hAnsi="Century Gothic"/>
          <w:b/>
          <w:color w:val="17375E"/>
          <w:sz w:val="21"/>
          <w:szCs w:val="21"/>
        </w:rPr>
        <w:t xml:space="preserve"> </w:t>
      </w:r>
      <w:r>
        <w:rPr>
          <w:rFonts w:ascii="Century Gothic" w:hAnsi="Century Gothic"/>
          <w:color w:val="17375E"/>
          <w:sz w:val="21"/>
          <w:szCs w:val="21"/>
        </w:rPr>
        <w:t>te ayuda a conseguir el aval y la financiación que necesitas, seas emprendedor, autónomo o pyme. Apoya y financia proyectos de forma segura y sin riesgos.</w:t>
      </w:r>
    </w:p>
    <w:p w14:paraId="61656FE2" w14:textId="77777777" w:rsidR="003F1BF4" w:rsidRDefault="003F1BF4" w:rsidP="003F1BF4">
      <w:pPr>
        <w:jc w:val="both"/>
        <w:rPr>
          <w:rFonts w:ascii="Century Gothic" w:hAnsi="Century Gothic"/>
          <w:color w:val="17375E"/>
          <w:sz w:val="21"/>
          <w:szCs w:val="21"/>
        </w:rPr>
      </w:pPr>
      <w:r>
        <w:rPr>
          <w:rFonts w:ascii="Century Gothic" w:hAnsi="Century Gothic"/>
          <w:color w:val="17375E"/>
          <w:sz w:val="21"/>
          <w:szCs w:val="21"/>
        </w:rPr>
        <w:t>Las SGR son entidades financieras sujetas al control del Banco de España y apoyadas por el Ministerio de Industria, Comercio y Turismo. Las SGR te ayudan a desarrollar tu proyecto avalándote para conseguir la financiación que necesitas, negociando las condiciones financieras que más te benefician y asesorándote para que tomes las mejores decisiones.</w:t>
      </w:r>
    </w:p>
    <w:p w14:paraId="0B821D61" w14:textId="77777777" w:rsidR="003F1BF4" w:rsidRDefault="003F1BF4" w:rsidP="003F1BF4">
      <w:pPr>
        <w:jc w:val="both"/>
        <w:rPr>
          <w:rFonts w:ascii="Century Gothic" w:hAnsi="Century Gothic"/>
          <w:color w:val="17375E"/>
          <w:sz w:val="21"/>
          <w:szCs w:val="21"/>
        </w:rPr>
      </w:pPr>
      <w:r>
        <w:rPr>
          <w:rFonts w:ascii="Century Gothic" w:hAnsi="Century Gothic"/>
          <w:color w:val="17375E"/>
          <w:sz w:val="21"/>
          <w:szCs w:val="21"/>
        </w:rPr>
        <w:t>¿Cómo conseguir un Aval?</w:t>
      </w:r>
    </w:p>
    <w:p w14:paraId="19ADBFCC" w14:textId="77777777" w:rsidR="003F1BF4" w:rsidRDefault="003F1BF4" w:rsidP="003F1BF4">
      <w:pPr>
        <w:jc w:val="both"/>
        <w:rPr>
          <w:rFonts w:ascii="Century Gothic" w:hAnsi="Century Gothic"/>
        </w:rPr>
      </w:pPr>
      <w:r>
        <w:rPr>
          <w:rFonts w:ascii="Century Gothic" w:hAnsi="Century Gothic"/>
          <w:color w:val="17375E"/>
          <w:sz w:val="21"/>
          <w:szCs w:val="21"/>
        </w:rPr>
        <w:t xml:space="preserve">-Entra en </w:t>
      </w:r>
      <w:hyperlink r:id="rId18" w:history="1">
        <w:r>
          <w:rPr>
            <w:rStyle w:val="Hipervnculo"/>
            <w:rFonts w:ascii="Century Gothic" w:hAnsi="Century Gothic"/>
            <w:b/>
          </w:rPr>
          <w:t>https://www.conavalsi.com</w:t>
        </w:r>
      </w:hyperlink>
    </w:p>
    <w:p w14:paraId="39A3B95F" w14:textId="77777777" w:rsidR="003F1BF4" w:rsidRDefault="003F1BF4" w:rsidP="003F1BF4">
      <w:pPr>
        <w:jc w:val="both"/>
        <w:rPr>
          <w:rFonts w:ascii="Century Gothic" w:hAnsi="Century Gothic"/>
          <w:color w:val="17375E"/>
          <w:sz w:val="21"/>
          <w:szCs w:val="21"/>
        </w:rPr>
      </w:pPr>
      <w:r>
        <w:rPr>
          <w:rFonts w:ascii="Century Gothic" w:hAnsi="Century Gothic"/>
          <w:color w:val="17375E"/>
          <w:sz w:val="21"/>
          <w:szCs w:val="21"/>
        </w:rPr>
        <w:t xml:space="preserve">-Elige tu SGR </w:t>
      </w:r>
    </w:p>
    <w:p w14:paraId="590B3732" w14:textId="77777777" w:rsidR="003F1BF4" w:rsidRDefault="003F1BF4" w:rsidP="003F1BF4">
      <w:pPr>
        <w:jc w:val="both"/>
        <w:rPr>
          <w:rFonts w:ascii="Century Gothic" w:hAnsi="Century Gothic"/>
          <w:color w:val="17375E"/>
          <w:sz w:val="21"/>
          <w:szCs w:val="21"/>
        </w:rPr>
      </w:pPr>
      <w:r>
        <w:rPr>
          <w:rFonts w:ascii="Century Gothic" w:hAnsi="Century Gothic"/>
          <w:color w:val="17375E"/>
          <w:sz w:val="21"/>
          <w:szCs w:val="21"/>
        </w:rPr>
        <w:t xml:space="preserve">-Infórmate </w:t>
      </w:r>
    </w:p>
    <w:p w14:paraId="1E515028" w14:textId="77777777" w:rsidR="003F1BF4" w:rsidRDefault="003F1BF4" w:rsidP="003F1BF4">
      <w:pPr>
        <w:jc w:val="both"/>
        <w:rPr>
          <w:rFonts w:ascii="Century Gothic" w:hAnsi="Century Gothic"/>
          <w:color w:val="17375E"/>
          <w:sz w:val="21"/>
          <w:szCs w:val="21"/>
        </w:rPr>
      </w:pPr>
      <w:r>
        <w:rPr>
          <w:rFonts w:ascii="Century Gothic" w:hAnsi="Century Gothic"/>
          <w:color w:val="17375E"/>
          <w:sz w:val="21"/>
          <w:szCs w:val="21"/>
        </w:rPr>
        <w:t>-Inicia el proceso de solicitud</w:t>
      </w:r>
    </w:p>
    <w:p w14:paraId="307CE3F3" w14:textId="446F17DC" w:rsidR="00120945" w:rsidRPr="001A2925" w:rsidRDefault="00DB3CD7" w:rsidP="00120945">
      <w:pPr>
        <w:pBdr>
          <w:top w:val="single" w:sz="4" w:space="1" w:color="auto"/>
          <w:left w:val="single" w:sz="4" w:space="4" w:color="auto"/>
          <w:bottom w:val="single" w:sz="4" w:space="1" w:color="auto"/>
          <w:right w:val="single" w:sz="4" w:space="4" w:color="auto"/>
        </w:pBdr>
        <w:jc w:val="both"/>
        <w:rPr>
          <w:rFonts w:ascii="Century Gothic" w:hAnsi="Century Gothic"/>
          <w:sz w:val="21"/>
          <w:szCs w:val="21"/>
        </w:rPr>
      </w:pPr>
      <w:hyperlink r:id="rId19" w:history="1">
        <w:r w:rsidR="00120945" w:rsidRPr="00DB3CD7">
          <w:rPr>
            <w:rStyle w:val="Hipervnculo"/>
            <w:rFonts w:ascii="Century Gothic" w:hAnsi="Century Gothic"/>
            <w:sz w:val="21"/>
            <w:szCs w:val="21"/>
          </w:rPr>
          <w:t>Continuar leyendo</w:t>
        </w:r>
      </w:hyperlink>
    </w:p>
    <w:p w14:paraId="15DE817F" w14:textId="3F042012" w:rsidR="00231B5C" w:rsidRDefault="00DB3CD7" w:rsidP="00120945">
      <w:hyperlink r:id="rId20" w:history="1">
        <w:r w:rsidRPr="00540532">
          <w:rPr>
            <w:rStyle w:val="Hipervnculo"/>
          </w:rPr>
          <w:t>https://cesgar.es/las-sociedades-de-garantia-inyectaron-1-326-millones-de-euros-a-pymes-y-autonomos-en-el-primer-semestre-de-2024/</w:t>
        </w:r>
      </w:hyperlink>
    </w:p>
    <w:p w14:paraId="473F51E0" w14:textId="77777777" w:rsidR="00DB3CD7" w:rsidRPr="00106B79" w:rsidRDefault="00DB3CD7" w:rsidP="00120945">
      <w:pPr>
        <w:rPr>
          <w:rFonts w:ascii="Century Gothic" w:hAnsi="Century Gothic"/>
        </w:rPr>
      </w:pPr>
    </w:p>
    <w:sectPr w:rsidR="00DB3CD7" w:rsidRPr="00106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753D"/>
    <w:multiLevelType w:val="multilevel"/>
    <w:tmpl w:val="D8DE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7E5B"/>
    <w:multiLevelType w:val="multilevel"/>
    <w:tmpl w:val="8D3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757DF"/>
    <w:multiLevelType w:val="hybridMultilevel"/>
    <w:tmpl w:val="82C07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8239355">
    <w:abstractNumId w:val="1"/>
  </w:num>
  <w:num w:numId="2" w16cid:durableId="483860783">
    <w:abstractNumId w:val="0"/>
  </w:num>
  <w:num w:numId="3" w16cid:durableId="192610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74"/>
    <w:rsid w:val="00036D09"/>
    <w:rsid w:val="0005488D"/>
    <w:rsid w:val="00067712"/>
    <w:rsid w:val="000856D3"/>
    <w:rsid w:val="00106B79"/>
    <w:rsid w:val="00120945"/>
    <w:rsid w:val="001A2925"/>
    <w:rsid w:val="001B0793"/>
    <w:rsid w:val="001C51D8"/>
    <w:rsid w:val="00231B5C"/>
    <w:rsid w:val="00243848"/>
    <w:rsid w:val="00282F74"/>
    <w:rsid w:val="00321859"/>
    <w:rsid w:val="0034608B"/>
    <w:rsid w:val="003468B7"/>
    <w:rsid w:val="003F1BF4"/>
    <w:rsid w:val="00401161"/>
    <w:rsid w:val="004404F7"/>
    <w:rsid w:val="00465352"/>
    <w:rsid w:val="00710435"/>
    <w:rsid w:val="007C6400"/>
    <w:rsid w:val="00917135"/>
    <w:rsid w:val="00A37E78"/>
    <w:rsid w:val="00A86D7E"/>
    <w:rsid w:val="00AD5171"/>
    <w:rsid w:val="00C57EB1"/>
    <w:rsid w:val="00DB3CD7"/>
    <w:rsid w:val="00E86EE8"/>
    <w:rsid w:val="00E94ACB"/>
    <w:rsid w:val="00F04AF2"/>
    <w:rsid w:val="00FC40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1F2D"/>
  <w15:docId w15:val="{1A839EA6-9F32-47D1-BBE0-CBDD756F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18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82F7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C4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link w:val="Ttulo6Car"/>
    <w:uiPriority w:val="9"/>
    <w:qFormat/>
    <w:rsid w:val="00282F74"/>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82F74"/>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282F74"/>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282F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82F74"/>
    <w:rPr>
      <w:color w:val="0000FF"/>
      <w:u w:val="single"/>
    </w:rPr>
  </w:style>
  <w:style w:type="character" w:styleId="Textoennegrita">
    <w:name w:val="Strong"/>
    <w:basedOn w:val="Fuentedeprrafopredeter"/>
    <w:uiPriority w:val="22"/>
    <w:qFormat/>
    <w:rsid w:val="00282F74"/>
    <w:rPr>
      <w:b/>
      <w:bCs/>
    </w:rPr>
  </w:style>
  <w:style w:type="paragraph" w:styleId="Prrafodelista">
    <w:name w:val="List Paragraph"/>
    <w:basedOn w:val="Normal"/>
    <w:uiPriority w:val="34"/>
    <w:qFormat/>
    <w:rsid w:val="00067712"/>
    <w:pPr>
      <w:ind w:left="720"/>
      <w:contextualSpacing/>
    </w:pPr>
  </w:style>
  <w:style w:type="paragraph" w:styleId="Textodeglobo">
    <w:name w:val="Balloon Text"/>
    <w:basedOn w:val="Normal"/>
    <w:link w:val="TextodegloboCar"/>
    <w:uiPriority w:val="99"/>
    <w:semiHidden/>
    <w:unhideWhenUsed/>
    <w:rsid w:val="00E94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ACB"/>
    <w:rPr>
      <w:rFonts w:ascii="Tahoma" w:hAnsi="Tahoma" w:cs="Tahoma"/>
      <w:sz w:val="16"/>
      <w:szCs w:val="16"/>
    </w:rPr>
  </w:style>
  <w:style w:type="character" w:styleId="Hipervnculovisitado">
    <w:name w:val="FollowedHyperlink"/>
    <w:basedOn w:val="Fuentedeprrafopredeter"/>
    <w:uiPriority w:val="99"/>
    <w:semiHidden/>
    <w:unhideWhenUsed/>
    <w:rsid w:val="00231B5C"/>
    <w:rPr>
      <w:color w:val="800080" w:themeColor="followedHyperlink"/>
      <w:u w:val="single"/>
    </w:rPr>
  </w:style>
  <w:style w:type="character" w:styleId="Mencinsinresolver">
    <w:name w:val="Unresolved Mention"/>
    <w:basedOn w:val="Fuentedeprrafopredeter"/>
    <w:uiPriority w:val="99"/>
    <w:semiHidden/>
    <w:unhideWhenUsed/>
    <w:rsid w:val="00A37E78"/>
    <w:rPr>
      <w:color w:val="605E5C"/>
      <w:shd w:val="clear" w:color="auto" w:fill="E1DFDD"/>
    </w:rPr>
  </w:style>
  <w:style w:type="character" w:customStyle="1" w:styleId="Ttulo3Car">
    <w:name w:val="Título 3 Car"/>
    <w:basedOn w:val="Fuentedeprrafopredeter"/>
    <w:link w:val="Ttulo3"/>
    <w:uiPriority w:val="9"/>
    <w:semiHidden/>
    <w:rsid w:val="00FC4056"/>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uiPriority w:val="9"/>
    <w:rsid w:val="003218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67732">
      <w:bodyDiv w:val="1"/>
      <w:marLeft w:val="0"/>
      <w:marRight w:val="0"/>
      <w:marTop w:val="0"/>
      <w:marBottom w:val="0"/>
      <w:divBdr>
        <w:top w:val="none" w:sz="0" w:space="0" w:color="auto"/>
        <w:left w:val="none" w:sz="0" w:space="0" w:color="auto"/>
        <w:bottom w:val="none" w:sz="0" w:space="0" w:color="auto"/>
        <w:right w:val="none" w:sz="0" w:space="0" w:color="auto"/>
      </w:divBdr>
      <w:divsChild>
        <w:div w:id="2007858535">
          <w:marLeft w:val="0"/>
          <w:marRight w:val="0"/>
          <w:marTop w:val="0"/>
          <w:marBottom w:val="0"/>
          <w:divBdr>
            <w:top w:val="none" w:sz="0" w:space="0" w:color="auto"/>
            <w:left w:val="none" w:sz="0" w:space="0" w:color="auto"/>
            <w:bottom w:val="none" w:sz="0" w:space="0" w:color="auto"/>
            <w:right w:val="none" w:sz="0" w:space="0" w:color="auto"/>
          </w:divBdr>
        </w:div>
        <w:div w:id="44109858">
          <w:marLeft w:val="0"/>
          <w:marRight w:val="0"/>
          <w:marTop w:val="0"/>
          <w:marBottom w:val="0"/>
          <w:divBdr>
            <w:top w:val="none" w:sz="0" w:space="0" w:color="auto"/>
            <w:left w:val="none" w:sz="0" w:space="0" w:color="auto"/>
            <w:bottom w:val="none" w:sz="0" w:space="0" w:color="auto"/>
            <w:right w:val="none" w:sz="0" w:space="0" w:color="auto"/>
          </w:divBdr>
          <w:divsChild>
            <w:div w:id="1376154168">
              <w:marLeft w:val="0"/>
              <w:marRight w:val="0"/>
              <w:marTop w:val="0"/>
              <w:marBottom w:val="645"/>
              <w:divBdr>
                <w:top w:val="single" w:sz="6" w:space="10" w:color="DDDDDD"/>
                <w:left w:val="none" w:sz="0" w:space="0" w:color="auto"/>
                <w:bottom w:val="none" w:sz="0" w:space="0" w:color="auto"/>
                <w:right w:val="none" w:sz="0" w:space="0" w:color="auto"/>
              </w:divBdr>
              <w:divsChild>
                <w:div w:id="19892820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7594195">
          <w:marLeft w:val="0"/>
          <w:marRight w:val="0"/>
          <w:marTop w:val="0"/>
          <w:marBottom w:val="525"/>
          <w:divBdr>
            <w:top w:val="none" w:sz="0" w:space="0" w:color="auto"/>
            <w:left w:val="none" w:sz="0" w:space="0" w:color="auto"/>
            <w:bottom w:val="none" w:sz="0" w:space="0" w:color="auto"/>
            <w:right w:val="none" w:sz="0" w:space="0" w:color="auto"/>
          </w:divBdr>
          <w:divsChild>
            <w:div w:id="16663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365">
      <w:bodyDiv w:val="1"/>
      <w:marLeft w:val="0"/>
      <w:marRight w:val="0"/>
      <w:marTop w:val="0"/>
      <w:marBottom w:val="0"/>
      <w:divBdr>
        <w:top w:val="none" w:sz="0" w:space="0" w:color="auto"/>
        <w:left w:val="none" w:sz="0" w:space="0" w:color="auto"/>
        <w:bottom w:val="none" w:sz="0" w:space="0" w:color="auto"/>
        <w:right w:val="none" w:sz="0" w:space="0" w:color="auto"/>
      </w:divBdr>
    </w:div>
    <w:div w:id="660045508">
      <w:bodyDiv w:val="1"/>
      <w:marLeft w:val="0"/>
      <w:marRight w:val="0"/>
      <w:marTop w:val="0"/>
      <w:marBottom w:val="0"/>
      <w:divBdr>
        <w:top w:val="none" w:sz="0" w:space="0" w:color="auto"/>
        <w:left w:val="none" w:sz="0" w:space="0" w:color="auto"/>
        <w:bottom w:val="none" w:sz="0" w:space="0" w:color="auto"/>
        <w:right w:val="none" w:sz="0" w:space="0" w:color="auto"/>
      </w:divBdr>
    </w:div>
    <w:div w:id="988632391">
      <w:bodyDiv w:val="1"/>
      <w:marLeft w:val="0"/>
      <w:marRight w:val="0"/>
      <w:marTop w:val="0"/>
      <w:marBottom w:val="0"/>
      <w:divBdr>
        <w:top w:val="none" w:sz="0" w:space="0" w:color="auto"/>
        <w:left w:val="none" w:sz="0" w:space="0" w:color="auto"/>
        <w:bottom w:val="none" w:sz="0" w:space="0" w:color="auto"/>
        <w:right w:val="none" w:sz="0" w:space="0" w:color="auto"/>
      </w:divBdr>
      <w:divsChild>
        <w:div w:id="1310984946">
          <w:marLeft w:val="0"/>
          <w:marRight w:val="0"/>
          <w:marTop w:val="0"/>
          <w:marBottom w:val="300"/>
          <w:divBdr>
            <w:top w:val="none" w:sz="0" w:space="0" w:color="auto"/>
            <w:left w:val="none" w:sz="0" w:space="0" w:color="auto"/>
            <w:bottom w:val="none" w:sz="0" w:space="0" w:color="auto"/>
            <w:right w:val="none" w:sz="0" w:space="0" w:color="auto"/>
          </w:divBdr>
          <w:divsChild>
            <w:div w:id="1146631928">
              <w:marLeft w:val="0"/>
              <w:marRight w:val="0"/>
              <w:marTop w:val="0"/>
              <w:marBottom w:val="0"/>
              <w:divBdr>
                <w:top w:val="none" w:sz="0" w:space="0" w:color="auto"/>
                <w:left w:val="none" w:sz="0" w:space="0" w:color="auto"/>
                <w:bottom w:val="none" w:sz="0" w:space="0" w:color="auto"/>
                <w:right w:val="none" w:sz="0" w:space="0" w:color="auto"/>
              </w:divBdr>
            </w:div>
          </w:divsChild>
        </w:div>
        <w:div w:id="69080081">
          <w:marLeft w:val="0"/>
          <w:marRight w:val="0"/>
          <w:marTop w:val="0"/>
          <w:marBottom w:val="300"/>
          <w:divBdr>
            <w:top w:val="none" w:sz="0" w:space="0" w:color="auto"/>
            <w:left w:val="none" w:sz="0" w:space="0" w:color="auto"/>
            <w:bottom w:val="none" w:sz="0" w:space="0" w:color="auto"/>
            <w:right w:val="none" w:sz="0" w:space="0" w:color="auto"/>
          </w:divBdr>
          <w:divsChild>
            <w:div w:id="1743527304">
              <w:marLeft w:val="0"/>
              <w:marRight w:val="0"/>
              <w:marTop w:val="0"/>
              <w:marBottom w:val="0"/>
              <w:divBdr>
                <w:top w:val="none" w:sz="0" w:space="0" w:color="auto"/>
                <w:left w:val="none" w:sz="0" w:space="0" w:color="auto"/>
                <w:bottom w:val="none" w:sz="0" w:space="0" w:color="auto"/>
                <w:right w:val="none" w:sz="0" w:space="0" w:color="auto"/>
              </w:divBdr>
              <w:divsChild>
                <w:div w:id="20274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0120">
          <w:marLeft w:val="0"/>
          <w:marRight w:val="0"/>
          <w:marTop w:val="0"/>
          <w:marBottom w:val="300"/>
          <w:divBdr>
            <w:top w:val="none" w:sz="0" w:space="0" w:color="auto"/>
            <w:left w:val="none" w:sz="0" w:space="0" w:color="auto"/>
            <w:bottom w:val="none" w:sz="0" w:space="0" w:color="auto"/>
            <w:right w:val="none" w:sz="0" w:space="0" w:color="auto"/>
          </w:divBdr>
          <w:divsChild>
            <w:div w:id="1342974915">
              <w:marLeft w:val="0"/>
              <w:marRight w:val="0"/>
              <w:marTop w:val="0"/>
              <w:marBottom w:val="0"/>
              <w:divBdr>
                <w:top w:val="none" w:sz="0" w:space="0" w:color="auto"/>
                <w:left w:val="none" w:sz="0" w:space="0" w:color="auto"/>
                <w:bottom w:val="none" w:sz="0" w:space="0" w:color="auto"/>
                <w:right w:val="none" w:sz="0" w:space="0" w:color="auto"/>
              </w:divBdr>
              <w:divsChild>
                <w:div w:id="13832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7146">
          <w:marLeft w:val="0"/>
          <w:marRight w:val="0"/>
          <w:marTop w:val="0"/>
          <w:marBottom w:val="300"/>
          <w:divBdr>
            <w:top w:val="none" w:sz="0" w:space="0" w:color="auto"/>
            <w:left w:val="none" w:sz="0" w:space="0" w:color="auto"/>
            <w:bottom w:val="none" w:sz="0" w:space="0" w:color="auto"/>
            <w:right w:val="none" w:sz="0" w:space="0" w:color="auto"/>
          </w:divBdr>
          <w:divsChild>
            <w:div w:id="160512260">
              <w:marLeft w:val="0"/>
              <w:marRight w:val="0"/>
              <w:marTop w:val="0"/>
              <w:marBottom w:val="0"/>
              <w:divBdr>
                <w:top w:val="none" w:sz="0" w:space="0" w:color="auto"/>
                <w:left w:val="none" w:sz="0" w:space="0" w:color="auto"/>
                <w:bottom w:val="none" w:sz="0" w:space="0" w:color="auto"/>
                <w:right w:val="none" w:sz="0" w:space="0" w:color="auto"/>
              </w:divBdr>
              <w:divsChild>
                <w:div w:id="12914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3087">
          <w:marLeft w:val="0"/>
          <w:marRight w:val="0"/>
          <w:marTop w:val="0"/>
          <w:marBottom w:val="300"/>
          <w:divBdr>
            <w:top w:val="none" w:sz="0" w:space="0" w:color="auto"/>
            <w:left w:val="none" w:sz="0" w:space="0" w:color="auto"/>
            <w:bottom w:val="none" w:sz="0" w:space="0" w:color="auto"/>
            <w:right w:val="none" w:sz="0" w:space="0" w:color="auto"/>
          </w:divBdr>
          <w:divsChild>
            <w:div w:id="1880698431">
              <w:marLeft w:val="0"/>
              <w:marRight w:val="0"/>
              <w:marTop w:val="0"/>
              <w:marBottom w:val="0"/>
              <w:divBdr>
                <w:top w:val="none" w:sz="0" w:space="0" w:color="auto"/>
                <w:left w:val="none" w:sz="0" w:space="0" w:color="auto"/>
                <w:bottom w:val="none" w:sz="0" w:space="0" w:color="auto"/>
                <w:right w:val="none" w:sz="0" w:space="0" w:color="auto"/>
              </w:divBdr>
              <w:divsChild>
                <w:div w:id="18612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6852">
          <w:marLeft w:val="0"/>
          <w:marRight w:val="0"/>
          <w:marTop w:val="0"/>
          <w:marBottom w:val="300"/>
          <w:divBdr>
            <w:top w:val="none" w:sz="0" w:space="0" w:color="auto"/>
            <w:left w:val="none" w:sz="0" w:space="0" w:color="auto"/>
            <w:bottom w:val="none" w:sz="0" w:space="0" w:color="auto"/>
            <w:right w:val="none" w:sz="0" w:space="0" w:color="auto"/>
          </w:divBdr>
          <w:divsChild>
            <w:div w:id="1927421299">
              <w:marLeft w:val="0"/>
              <w:marRight w:val="0"/>
              <w:marTop w:val="0"/>
              <w:marBottom w:val="0"/>
              <w:divBdr>
                <w:top w:val="none" w:sz="0" w:space="0" w:color="auto"/>
                <w:left w:val="none" w:sz="0" w:space="0" w:color="auto"/>
                <w:bottom w:val="none" w:sz="0" w:space="0" w:color="auto"/>
                <w:right w:val="none" w:sz="0" w:space="0" w:color="auto"/>
              </w:divBdr>
              <w:divsChild>
                <w:div w:id="12987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7678">
          <w:marLeft w:val="0"/>
          <w:marRight w:val="0"/>
          <w:marTop w:val="0"/>
          <w:marBottom w:val="0"/>
          <w:divBdr>
            <w:top w:val="none" w:sz="0" w:space="0" w:color="auto"/>
            <w:left w:val="none" w:sz="0" w:space="0" w:color="auto"/>
            <w:bottom w:val="none" w:sz="0" w:space="0" w:color="auto"/>
            <w:right w:val="none" w:sz="0" w:space="0" w:color="auto"/>
          </w:divBdr>
          <w:divsChild>
            <w:div w:id="1051137">
              <w:marLeft w:val="0"/>
              <w:marRight w:val="0"/>
              <w:marTop w:val="0"/>
              <w:marBottom w:val="0"/>
              <w:divBdr>
                <w:top w:val="none" w:sz="0" w:space="0" w:color="auto"/>
                <w:left w:val="none" w:sz="0" w:space="0" w:color="auto"/>
                <w:bottom w:val="none" w:sz="0" w:space="0" w:color="auto"/>
                <w:right w:val="none" w:sz="0" w:space="0" w:color="auto"/>
              </w:divBdr>
              <w:divsChild>
                <w:div w:id="91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5524">
      <w:bodyDiv w:val="1"/>
      <w:marLeft w:val="0"/>
      <w:marRight w:val="0"/>
      <w:marTop w:val="0"/>
      <w:marBottom w:val="0"/>
      <w:divBdr>
        <w:top w:val="none" w:sz="0" w:space="0" w:color="auto"/>
        <w:left w:val="none" w:sz="0" w:space="0" w:color="auto"/>
        <w:bottom w:val="none" w:sz="0" w:space="0" w:color="auto"/>
        <w:right w:val="none" w:sz="0" w:space="0" w:color="auto"/>
      </w:divBdr>
      <w:divsChild>
        <w:div w:id="1601718555">
          <w:marLeft w:val="0"/>
          <w:marRight w:val="0"/>
          <w:marTop w:val="0"/>
          <w:marBottom w:val="300"/>
          <w:divBdr>
            <w:top w:val="none" w:sz="0" w:space="0" w:color="auto"/>
            <w:left w:val="none" w:sz="0" w:space="0" w:color="auto"/>
            <w:bottom w:val="none" w:sz="0" w:space="0" w:color="auto"/>
            <w:right w:val="none" w:sz="0" w:space="0" w:color="auto"/>
          </w:divBdr>
          <w:divsChild>
            <w:div w:id="111902137">
              <w:marLeft w:val="0"/>
              <w:marRight w:val="0"/>
              <w:marTop w:val="0"/>
              <w:marBottom w:val="0"/>
              <w:divBdr>
                <w:top w:val="none" w:sz="0" w:space="0" w:color="auto"/>
                <w:left w:val="none" w:sz="0" w:space="0" w:color="auto"/>
                <w:bottom w:val="none" w:sz="0" w:space="0" w:color="auto"/>
                <w:right w:val="none" w:sz="0" w:space="0" w:color="auto"/>
              </w:divBdr>
            </w:div>
          </w:divsChild>
        </w:div>
        <w:div w:id="1268543059">
          <w:marLeft w:val="0"/>
          <w:marRight w:val="0"/>
          <w:marTop w:val="0"/>
          <w:marBottom w:val="300"/>
          <w:divBdr>
            <w:top w:val="none" w:sz="0" w:space="0" w:color="auto"/>
            <w:left w:val="none" w:sz="0" w:space="0" w:color="auto"/>
            <w:bottom w:val="none" w:sz="0" w:space="0" w:color="auto"/>
            <w:right w:val="none" w:sz="0" w:space="0" w:color="auto"/>
          </w:divBdr>
          <w:divsChild>
            <w:div w:id="2095779216">
              <w:marLeft w:val="0"/>
              <w:marRight w:val="0"/>
              <w:marTop w:val="0"/>
              <w:marBottom w:val="0"/>
              <w:divBdr>
                <w:top w:val="none" w:sz="0" w:space="0" w:color="auto"/>
                <w:left w:val="none" w:sz="0" w:space="0" w:color="auto"/>
                <w:bottom w:val="none" w:sz="0" w:space="0" w:color="auto"/>
                <w:right w:val="none" w:sz="0" w:space="0" w:color="auto"/>
              </w:divBdr>
              <w:divsChild>
                <w:div w:id="710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9588">
          <w:marLeft w:val="0"/>
          <w:marRight w:val="0"/>
          <w:marTop w:val="0"/>
          <w:marBottom w:val="300"/>
          <w:divBdr>
            <w:top w:val="none" w:sz="0" w:space="0" w:color="auto"/>
            <w:left w:val="none" w:sz="0" w:space="0" w:color="auto"/>
            <w:bottom w:val="none" w:sz="0" w:space="0" w:color="auto"/>
            <w:right w:val="none" w:sz="0" w:space="0" w:color="auto"/>
          </w:divBdr>
          <w:divsChild>
            <w:div w:id="1347706541">
              <w:marLeft w:val="0"/>
              <w:marRight w:val="0"/>
              <w:marTop w:val="0"/>
              <w:marBottom w:val="0"/>
              <w:divBdr>
                <w:top w:val="none" w:sz="0" w:space="0" w:color="auto"/>
                <w:left w:val="none" w:sz="0" w:space="0" w:color="auto"/>
                <w:bottom w:val="none" w:sz="0" w:space="0" w:color="auto"/>
                <w:right w:val="none" w:sz="0" w:space="0" w:color="auto"/>
              </w:divBdr>
              <w:divsChild>
                <w:div w:id="401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3383">
          <w:marLeft w:val="0"/>
          <w:marRight w:val="0"/>
          <w:marTop w:val="0"/>
          <w:marBottom w:val="300"/>
          <w:divBdr>
            <w:top w:val="none" w:sz="0" w:space="0" w:color="auto"/>
            <w:left w:val="none" w:sz="0" w:space="0" w:color="auto"/>
            <w:bottom w:val="none" w:sz="0" w:space="0" w:color="auto"/>
            <w:right w:val="none" w:sz="0" w:space="0" w:color="auto"/>
          </w:divBdr>
          <w:divsChild>
            <w:div w:id="1878422534">
              <w:marLeft w:val="0"/>
              <w:marRight w:val="0"/>
              <w:marTop w:val="0"/>
              <w:marBottom w:val="0"/>
              <w:divBdr>
                <w:top w:val="none" w:sz="0" w:space="0" w:color="auto"/>
                <w:left w:val="none" w:sz="0" w:space="0" w:color="auto"/>
                <w:bottom w:val="none" w:sz="0" w:space="0" w:color="auto"/>
                <w:right w:val="none" w:sz="0" w:space="0" w:color="auto"/>
              </w:divBdr>
              <w:divsChild>
                <w:div w:id="2806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7073">
          <w:marLeft w:val="0"/>
          <w:marRight w:val="0"/>
          <w:marTop w:val="0"/>
          <w:marBottom w:val="300"/>
          <w:divBdr>
            <w:top w:val="none" w:sz="0" w:space="0" w:color="auto"/>
            <w:left w:val="none" w:sz="0" w:space="0" w:color="auto"/>
            <w:bottom w:val="none" w:sz="0" w:space="0" w:color="auto"/>
            <w:right w:val="none" w:sz="0" w:space="0" w:color="auto"/>
          </w:divBdr>
          <w:divsChild>
            <w:div w:id="539782437">
              <w:marLeft w:val="0"/>
              <w:marRight w:val="0"/>
              <w:marTop w:val="0"/>
              <w:marBottom w:val="0"/>
              <w:divBdr>
                <w:top w:val="none" w:sz="0" w:space="0" w:color="auto"/>
                <w:left w:val="none" w:sz="0" w:space="0" w:color="auto"/>
                <w:bottom w:val="none" w:sz="0" w:space="0" w:color="auto"/>
                <w:right w:val="none" w:sz="0" w:space="0" w:color="auto"/>
              </w:divBdr>
              <w:divsChild>
                <w:div w:id="2727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0202">
          <w:marLeft w:val="0"/>
          <w:marRight w:val="0"/>
          <w:marTop w:val="0"/>
          <w:marBottom w:val="300"/>
          <w:divBdr>
            <w:top w:val="none" w:sz="0" w:space="0" w:color="auto"/>
            <w:left w:val="none" w:sz="0" w:space="0" w:color="auto"/>
            <w:bottom w:val="none" w:sz="0" w:space="0" w:color="auto"/>
            <w:right w:val="none" w:sz="0" w:space="0" w:color="auto"/>
          </w:divBdr>
          <w:divsChild>
            <w:div w:id="1243567848">
              <w:marLeft w:val="0"/>
              <w:marRight w:val="0"/>
              <w:marTop w:val="0"/>
              <w:marBottom w:val="0"/>
              <w:divBdr>
                <w:top w:val="none" w:sz="0" w:space="0" w:color="auto"/>
                <w:left w:val="none" w:sz="0" w:space="0" w:color="auto"/>
                <w:bottom w:val="none" w:sz="0" w:space="0" w:color="auto"/>
                <w:right w:val="none" w:sz="0" w:space="0" w:color="auto"/>
              </w:divBdr>
              <w:divsChild>
                <w:div w:id="411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2829">
          <w:marLeft w:val="0"/>
          <w:marRight w:val="0"/>
          <w:marTop w:val="0"/>
          <w:marBottom w:val="0"/>
          <w:divBdr>
            <w:top w:val="none" w:sz="0" w:space="0" w:color="auto"/>
            <w:left w:val="none" w:sz="0" w:space="0" w:color="auto"/>
            <w:bottom w:val="none" w:sz="0" w:space="0" w:color="auto"/>
            <w:right w:val="none" w:sz="0" w:space="0" w:color="auto"/>
          </w:divBdr>
          <w:divsChild>
            <w:div w:id="911306944">
              <w:marLeft w:val="0"/>
              <w:marRight w:val="0"/>
              <w:marTop w:val="0"/>
              <w:marBottom w:val="0"/>
              <w:divBdr>
                <w:top w:val="none" w:sz="0" w:space="0" w:color="auto"/>
                <w:left w:val="none" w:sz="0" w:space="0" w:color="auto"/>
                <w:bottom w:val="none" w:sz="0" w:space="0" w:color="auto"/>
                <w:right w:val="none" w:sz="0" w:space="0" w:color="auto"/>
              </w:divBdr>
              <w:divsChild>
                <w:div w:id="11442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812">
      <w:bodyDiv w:val="1"/>
      <w:marLeft w:val="0"/>
      <w:marRight w:val="0"/>
      <w:marTop w:val="0"/>
      <w:marBottom w:val="0"/>
      <w:divBdr>
        <w:top w:val="none" w:sz="0" w:space="0" w:color="auto"/>
        <w:left w:val="none" w:sz="0" w:space="0" w:color="auto"/>
        <w:bottom w:val="none" w:sz="0" w:space="0" w:color="auto"/>
        <w:right w:val="none" w:sz="0" w:space="0" w:color="auto"/>
      </w:divBdr>
    </w:div>
    <w:div w:id="1337004623">
      <w:bodyDiv w:val="1"/>
      <w:marLeft w:val="0"/>
      <w:marRight w:val="0"/>
      <w:marTop w:val="0"/>
      <w:marBottom w:val="0"/>
      <w:divBdr>
        <w:top w:val="none" w:sz="0" w:space="0" w:color="auto"/>
        <w:left w:val="none" w:sz="0" w:space="0" w:color="auto"/>
        <w:bottom w:val="none" w:sz="0" w:space="0" w:color="auto"/>
        <w:right w:val="none" w:sz="0" w:space="0" w:color="auto"/>
      </w:divBdr>
    </w:div>
    <w:div w:id="1659068174">
      <w:bodyDiv w:val="1"/>
      <w:marLeft w:val="0"/>
      <w:marRight w:val="0"/>
      <w:marTop w:val="0"/>
      <w:marBottom w:val="0"/>
      <w:divBdr>
        <w:top w:val="none" w:sz="0" w:space="0" w:color="auto"/>
        <w:left w:val="none" w:sz="0" w:space="0" w:color="auto"/>
        <w:bottom w:val="none" w:sz="0" w:space="0" w:color="auto"/>
        <w:right w:val="none" w:sz="0" w:space="0" w:color="auto"/>
      </w:divBdr>
    </w:div>
    <w:div w:id="1851136606">
      <w:bodyDiv w:val="1"/>
      <w:marLeft w:val="0"/>
      <w:marRight w:val="0"/>
      <w:marTop w:val="0"/>
      <w:marBottom w:val="0"/>
      <w:divBdr>
        <w:top w:val="none" w:sz="0" w:space="0" w:color="auto"/>
        <w:left w:val="none" w:sz="0" w:space="0" w:color="auto"/>
        <w:bottom w:val="none" w:sz="0" w:space="0" w:color="auto"/>
        <w:right w:val="none" w:sz="0" w:space="0" w:color="auto"/>
      </w:divBdr>
    </w:div>
    <w:div w:id="18707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eneration-eu.europa.eu/index_en" TargetMode="External"/><Relationship Id="rId13" Type="http://schemas.openxmlformats.org/officeDocument/2006/relationships/hyperlink" Target="https://diariofinanciero.com/las-sociedades-de-garantia-inyectaron-1-326-millones-de-euros-a-pymes-y-autonomos-en-el-primer-semestre/" TargetMode="External"/><Relationship Id="rId18" Type="http://schemas.openxmlformats.org/officeDocument/2006/relationships/hyperlink" Target="https://www.conavals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europapress.es/economia/finanzas-00340/noticia-sociedades-garantia-inyectaron-1326-millones-euros-pymes-autonomos-primer-semestre-20240729121653.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conavalsi.com/" TargetMode="External"/><Relationship Id="rId20" Type="http://schemas.openxmlformats.org/officeDocument/2006/relationships/hyperlink" Target="https://cesgar.es/las-sociedades-de-garantia-inyectaron-1-326-millones-de-euros-a-pymes-y-autonomos-en-el-primer-semestre-de-202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arazon.es/castilla-y-leon/sociedades-garantia-inyectaron-1326-millones-euros-pymes-autonomos-primer-semestre-2024_2024072966a79a4d8ec92000019c5ece.html" TargetMode="External"/><Relationship Id="rId5" Type="http://schemas.openxmlformats.org/officeDocument/2006/relationships/webSettings" Target="webSettings.xml"/><Relationship Id="rId15" Type="http://schemas.openxmlformats.org/officeDocument/2006/relationships/hyperlink" Target="https://www.merca2.es/2024/07/29/sociedades-garantia-pymes-autonomos-1866261/" TargetMode="External"/><Relationship Id="rId10" Type="http://schemas.openxmlformats.org/officeDocument/2006/relationships/hyperlink" Target="https://www.epe.es/es/activos/20240729/sociedades-garantia-reciproca-inyectan-millones-pymes-106227958" TargetMode="External"/><Relationship Id="rId19" Type="http://schemas.openxmlformats.org/officeDocument/2006/relationships/hyperlink" Target="https://cesgar.es/las-sociedades-de-garantia-inyectaron-1-326-millones-de-euros-a-pymes-y-autonomos-en-el-primer-semestre-de-2024/" TargetMode="External"/><Relationship Id="rId4" Type="http://schemas.openxmlformats.org/officeDocument/2006/relationships/settings" Target="settings.xml"/><Relationship Id="rId9" Type="http://schemas.openxmlformats.org/officeDocument/2006/relationships/hyperlink" Target="https://planderecuperacion.gob.es/" TargetMode="External"/><Relationship Id="rId14" Type="http://schemas.openxmlformats.org/officeDocument/2006/relationships/hyperlink" Target="https://dirigentesdigital.com/empresas/sociedades-de-garantia-inyectaron-1-326-millones-pymes-primer-semestr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3940-A867-4A38-B9F7-300AC136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AFF. Fernandez</dc:creator>
  <cp:lastModifiedBy>Álvaro Fernández de Navarrete González-Valerio</cp:lastModifiedBy>
  <cp:revision>3</cp:revision>
  <dcterms:created xsi:type="dcterms:W3CDTF">2024-10-07T11:02:00Z</dcterms:created>
  <dcterms:modified xsi:type="dcterms:W3CDTF">2024-10-07T11:09:00Z</dcterms:modified>
</cp:coreProperties>
</file>